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III 33</w:t>
      </w:r>
    </w:p>
    <w:p>
      <w:r>
        <w:t>Bundesgericht (BGE), 1985-04-10, IT</w:t>
      </w:r>
    </w:p>
    <w:p>
      <w:r>
        <w:rPr>
          <w:b/>
        </w:rPr>
        <w:t xml:space="preserve">Quelle: </w:t>
      </w:r>
      <w:r>
        <w:t>https://mcp.opencaselaw.ch/entscheid/bge_111 III 33</w:t>
      </w:r>
    </w:p>
    <w:p>
      <w:r>
        <w:t>FR: ATF 111 III 33</w:t>
      </w:r>
    </w:p>
    <w:p>
      <w:r>
        <w:t>IT: DTF 111 III 33</w:t>
      </w:r>
    </w:p>
    <w:p>
      <w:pPr>
        <w:pStyle w:val="Heading2"/>
      </w:pPr>
      <w:r>
        <w:t>Regeste</w:t>
      </w:r>
    </w:p>
    <w:p>
      <w:r>
        <w:t>Regeste Wechselbetreibung: Voraussetzungen, Gültigkeit des Titels, Erfordernis des Wechselprotestes (Art. 177 und 178 Abs. 1 SchKG). 1. Elemente, die der Betreibungsbeamte zu prüfen hat, bevor er einem Begehren um Wechselbetreibung stattgibt; enthält der vorgelegte Titel die vom Gesetz geforderten Angaben (Art. 991, 1096 und 1100 OR) offensichtlich nicht, muss der Betreibungsbeamte die Wechselbetreibung verweigern (Erw. 1). 2. Die Vorlegung des Protestes (Art. 1034, 1098 und 1129 OR) ist notwendig, falls die wechselrechtlichen Wirkungen, auf die sich der Gläubiger beruft, davon abhängen: Titel und Protest bilden ein Ganzes, das der Betreibungsbeamte in seiner Gesamtheit zu prüfen hat, wenn es um die Feststellung geht, ob der Titel bei erster Betrachtung eine Wechselbetreibung zulasse (Erw. 2a). 3. Ein Wechsel, der den Namen des Bezogenen nicht enthält (Art. 991 Ziff. 3 OR), gilt nicht als Wertpapier (Art. 992 Abs. 1 OR) und kann, da das Zahlungsversprechen fehlt (Art. 1096 Ziff. 2 und 1097 Abs. 1 OR), auch nicht als Eigenwechsel betrachtet werden (Erw. 2b und 3).</w:t>
      </w:r>
    </w:p>
    <w:p>
      <w:pPr>
        <w:pStyle w:val="Heading2"/>
      </w:pPr>
      <w:r>
        <w:t>Erwägungen</w:t>
      </w:r>
    </w:p>
    <w:p>
      <w:r>
        <w:rPr>
          <w:b/>
        </w:rPr>
        <w:t>E. 1</w:t>
      </w:r>
    </w:p>
    <w:p>
      <w:r>
        <w:t>Le pretese derivanti da cambiale, vaglia cambiario (pagherò) o assegno bancario (chèque), anche se garantite da pegno, sono suscettibili - qualora il creditore lo richieda - di esecuzione cambiaria, sempreché il debitore sia soggetto alla procedura di fallimento (art. 177 cpv. 1 LEF). Prima di dar seguito a una domanda siffatta l'ufficiale deve verificare gli estremi dell'esecuzione cambiaria (art. 178 cpv. 1 LEF), e cioè: a) che il debitore soggiaccia alla procedura di fallimento ( art. 39 e 40 LEF); b) che il titolo esibito possegga tutti i requisiti essenziali di una cambiale, di un vaglia cambiario o di un assegno bancario ( art. 991, 1096 e 1100 CO); c) che il titolo costituisca un'obbligazione cambiaria del debitore; ciò si riscontra - in genere - quando il debitore ha sottoscritto la cambiale come traente, accettante (trattario), girante o avallante (art. 1044, 1099, 1143 n. 12 CO). Il trattario (art. 991 n. 3 CO) che non ha accettato la cambiale a norma dell'art. 1015 CO non ha contratto alcuna obbligazione di cambio e non può in nessun caso essere escusso in via cambiaria. (Si veda la circolare n. 23 del Dipartimento federale di giustizia e polizia, del 3 settembre 1895, pubblicata in: HUGUENIN/BERTA, Raccolta delle prescrizioni federali in tema di esecuzione e fallimento, Zurigo 1912, pag. 227; edizione francese in: JÄGER/KRAUSKOPF-PENEVEYRE, La poursuite pour dettes et la faillite, 12a edizione, pag. 90 seg. e FF 1911 IV 43 seg.; edizione tedesca in: WALDER-BOHNER, Schuldbetreibung und Konkurs, 11a edizione, pag. 447 segg. e BBl 1911 IV 41 seg.). Non incombe all'Ufficio d'esecuzione vagliare la fondatezza sostanziale del titolo prodotto; se tuttavia il documento difetta, già BGE 111 III 33 S. 36 manifestamente, di esigenze formali, l'Ufficio deve rifiutare la notifica del precetto esecutivo in via cambiaria (AMONN, Grundriss des Schuldbetreibungs- und Konkursrechts, 3a edizione, nota 12 al § 37; FAVRE, Droit des poursuites, 3a edizione, pag. 278 n. 3; FRITZSCHE, Schuldbetreibung und Konkurs, 2a edizione, vol. II, pag. 20 seg.; JÄGER, Commentaire de la loi fédérale sur la poursuite pour dettes et la faillite, vol. II, nota 1 ad art. 178 LEF; DTF 67 III 152).</w:t>
      </w:r>
    </w:p>
    <w:p>
      <w:r>
        <w:rPr>
          <w:b/>
        </w:rPr>
        <w:t>E. 2</w:t>
      </w:r>
    </w:p>
    <w:p>
      <w:r>
        <w:t>Nel caso specifico il titolo presentato dai creditori è designato espressamente come cambiale (lettre de change); deve adempiere quindi i requisiti dell'art. 991 CO. Ora, secondo la ditta escussa, il documento non contiene l'indicazione del trattario (art. 991 n. 3 CO), il Credito Svizzero di Morges essendo solo luogo del pagamento (art. 991 n. 5 CO). L'autorità cantonale e i creditori affermano invece che l'ente chiamato a pagare è proprio tale istituto. a) Il testo della cartavalore è equivoco. La menzione relativa al Credito Svizzero si trova bensì nello spazio riservato ordinariamente al nome del trattario, ma la locuzione au "Crédit Suisse" può anche far parte della frase "Valeur en compte que passerez selon avis". D'altro lato la denominazione del trattario costituisce, nell'uso comune, un periodo a sé stante che inizia di solito con una maiuscola; inoltre la preposizione "à" riesce desueta nel francese corrente per indicare il destinatario di una missiva. Sia come sia, il problema non può essere deciso sulla sola scorta della cambiale. Questa, invero, è accompagnata dal protesto, atto senza dubbio idoneo a precisarne il senso. Certo, la consegna del protesto non è contemplata dall'art. 177 cpv. 2 LEF, nondimeno essa appare indispensabile ove il protesto rappresenti la premessa degli effetti cambiari invocati dal creditore (FRITZSCHE, op.cit., vol. II, pag. 19 n. 2 con richiamo alla tesi di Isidor RIEMER, Die Wechselbetreibung, Zurigo 1923, pag. 39; JOOS, Handbuch für die Betreibungsbeamten der Schweiz, Wädenswil 1964, pag. 285). È quanto avviene in concreto, l'esecuzione litigiosa fondandosi sull'avallo prestato dalla ricorrente (art. 1034 in relazione con gli art. 1020 segg. e 1044 CO). La cambiale e il protesto formano così un insieme che dev'essere esaminato nel suo complesso per appurare se, a prima vista, il titolo permetta un'esecuzione cambiaria. b) Nella specie il protesto fuga chiaramente l'ambiguità della cambiale. Dallo stesso emerge che trattario e traente sono le BGE 111 III 33 S. 37 identiche persone, mentre il Credito Svizzero di Morges è semplice luogo del pagamento. Dati simili presupposti l'ufficiale e l'autorità di vigilanza non erano abilitati a scostarsi dal tenore dei documenti acclusi alla domanda d'esecuzione, né potevano giudicare i medesimi in base alla congettura che il protesto contenesse un errore, tale ipotesi non trovando alcuna conferma evidente e indiscutibile. Anzi, come si è illustrato, il protesto si dimostra un rimedio interpretativo di assoluta validità, quanto meno dal profilo formale. La cartavalore in questione risulta pertanto una cambiale tratta sul traente, circostanza lecita in virtù dell'art. 993 cpv. 2 CO. Se non che, il trattario non figura per nulla sul titolo, ove le persone traenti sono nominate una sola volta, appunto in codesta loro qualità. Ne discende che il documento non può raffigurare una cambiale (art. 992 cpv. 1 CO).</w:t>
      </w:r>
    </w:p>
    <w:p>
      <w:r>
        <w:rPr>
          <w:b/>
        </w:rPr>
        <w:t>E. 3</w:t>
      </w:r>
    </w:p>
    <w:p>
      <w:r>
        <w:t>I creditori eccepiscono che, quand'anche non fosse una cambiale, il titolo sarebbe in ogni modo un vaglia cambiario. La tesi non ha consistenza. Intanto il documento non porta la designazione del titolo (art. 1096 n. 1 CO), che è requisito essenziale (art. 1097 cpv. 1 CO); in secondo luogo, pur supponendo che l'uso del termine "lettre de change" invece di "billet à ordre" sia dovuto a palese svista (cfr. GUHL/MERZ/KUMMER, Das schweizerische Obligationenrecht, 7a edizione, pag. 834 n. 2b; DE SEMO, Trattato di diritto cambiario, 3a edizione, pag. 266 n. 293), giova aggiungere che il documento manca altresì della promessa incondizionata di pagare (art. 1096 n. 2 CO), la quale è a suo turno elemento di validità (art. 1097 cpv. 1 CO). Un vaglia cambiario che reca l'espressione 2veuillez payer" invece di "je payerai" senza designazione di un trattario è, per vero, radicalmente nullo: esso non vale come vaglia cambiario poiché è sfornito della promessa di pagare e non vale come cambiale poiché non indica chi è chiamato al pagamento (ARMINJON/CARRY, La lettre de change et le billet à ordre, Parigi 1938, pag. 404). Non fondandosi su un titolo conforme all'art. 177 cpv. 1 LEF, la richiesta dei creditori non poteva quindi dar luogo a esecuzione cambiaria. Dispositiv Per questi motivi, la Camera delle esecuzioni e dei fallimenti pronuncia: Il ricorso è accolto e la sentenza impugnata è riformata nel senso che il precetto esecutivo in via cambiaria emesso il 12 agosto 1983 dall'Ufficio esecuzioni e fallimenti di Bellinzona è annullato.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